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3DF5D2" w14:textId="7E6C76B3" w:rsidR="00C1090B" w:rsidRDefault="00F23936" w:rsidP="6922EE43">
      <w:pPr>
        <w:jc w:val="center"/>
        <w:rPr>
          <w:b/>
        </w:rPr>
      </w:pPr>
      <w:bookmarkStart w:id="0" w:name="_GoBack"/>
      <w:bookmarkEnd w:id="0"/>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52314">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52314">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52314">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52314">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52314">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52314">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52314">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52314">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52314">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52314">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52314">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52314">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52314">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52314">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52314">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52314">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52314">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52314">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52314">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52314">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52314">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52314">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52314">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52314">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52314">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52314">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52314">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52314">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52314">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52314">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52314">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52314">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52314">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52314">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52314">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52314">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52314">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52314">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52314">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52314">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52314">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52314">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52314">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52314">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52314">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52314">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t>General Questions</w:t>
      </w:r>
      <w:bookmarkEnd w:id="1"/>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867CF9E" w:rsidR="00093CA9" w:rsidRDefault="00EF16D7" w:rsidP="00093CA9">
            <w:r>
              <w:t>Shoosmiths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54587B2" w:rsidR="00093CA9" w:rsidRDefault="00AA7185" w:rsidP="00093CA9">
            <w:r w:rsidRPr="00AA7185">
              <w:t>PPN 016: Carbon Reduction Contract Schedule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81DEBCA" w14:textId="483A54A5" w:rsidR="00093CA9" w:rsidRDefault="00752314" w:rsidP="00093CA9">
            <w:hyperlink r:id="rId19" w:history="1">
              <w:r w:rsidR="006E3EED" w:rsidRPr="006E3EED">
                <w:rPr>
                  <w:rStyle w:val="Hyperlink"/>
                </w:rPr>
                <w:t>PPN 016: Carbon reduction contract schedule (HTML) - GOV.UK</w:t>
              </w:r>
            </w:hyperlink>
            <w:r w:rsidR="000163D9">
              <w:t xml:space="preserve"> (the </w:t>
            </w:r>
            <w:r w:rsidR="000163D9" w:rsidRPr="000163D9">
              <w:rPr>
                <w:b/>
                <w:bCs/>
              </w:rPr>
              <w:t>Note</w:t>
            </w:r>
            <w:r w:rsidR="000163D9">
              <w:t>)</w:t>
            </w:r>
          </w:p>
          <w:p w14:paraId="1523C232" w14:textId="4EDE04AC" w:rsidR="00FC05B7" w:rsidRDefault="00752314" w:rsidP="00093CA9">
            <w:hyperlink r:id="rId20" w:anchor="further-resources" w:history="1">
              <w:r w:rsidR="00FC05B7" w:rsidRPr="00FC05B7">
                <w:rPr>
                  <w:rStyle w:val="Hyperlink"/>
                </w:rPr>
                <w:t>PPN 016: Carbon reduction contract schedule and guidance (HTML) - GOV.UK</w:t>
              </w:r>
            </w:hyperlink>
            <w:r w:rsidR="000163D9">
              <w:t xml:space="preserve"> (the </w:t>
            </w:r>
            <w:r w:rsidR="000163D9" w:rsidRPr="000163D9">
              <w:rPr>
                <w:b/>
                <w:bCs/>
              </w:rPr>
              <w:t>Guidance</w:t>
            </w:r>
            <w:r w:rsidR="000163D9">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DD31805" w:rsidR="00093CA9" w:rsidRDefault="00E30CEB"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4D3E5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B514AAE" w14:textId="77777777" w:rsidR="00247041" w:rsidRPr="00247041" w:rsidRDefault="00247041" w:rsidP="00247041">
            <w:r w:rsidRPr="00247041">
              <w:t xml:space="preserve">The policy tool refers to a standard Carbon Reduction Contract Schedule which contains standard terms and conditions that are intended to be considered alongside broader sustainability obligations and included, where relevant to the subject matter and proportionate, in Government contracts. </w:t>
            </w:r>
          </w:p>
          <w:p w14:paraId="6FCF6A11" w14:textId="2472A7B4" w:rsidR="0079460A" w:rsidRDefault="0079460A" w:rsidP="0079460A">
            <w:r>
              <w:t>PPN 016 consists of two main component parts:</w:t>
            </w:r>
          </w:p>
          <w:p w14:paraId="0325022B" w14:textId="3B23B872" w:rsidR="0079460A" w:rsidRDefault="0079460A" w:rsidP="0079460A">
            <w:pPr>
              <w:pStyle w:val="ListParagraph"/>
              <w:numPr>
                <w:ilvl w:val="0"/>
                <w:numId w:val="49"/>
              </w:numPr>
            </w:pPr>
            <w:r>
              <w:t xml:space="preserve">The Action Note (the </w:t>
            </w:r>
            <w:r w:rsidRPr="0079460A">
              <w:rPr>
                <w:b/>
                <w:bCs/>
              </w:rPr>
              <w:t>Note</w:t>
            </w:r>
            <w:r>
              <w:t>) – This outlines the purpose, scope, and recommended use of the Carbon Reduction Contract Schedule. It provides advice on when and how to apply the schedule, and how it aligns with broader sustainability and procurement obligations.</w:t>
            </w:r>
          </w:p>
          <w:p w14:paraId="3DD0E5FE" w14:textId="59406F66" w:rsidR="0079460A" w:rsidRDefault="0079460A" w:rsidP="0079460A">
            <w:pPr>
              <w:pStyle w:val="ListParagraph"/>
              <w:numPr>
                <w:ilvl w:val="0"/>
                <w:numId w:val="49"/>
              </w:numPr>
            </w:pPr>
            <w:r>
              <w:t>The Carbon Reduction Contract Schedule and Guidance (</w:t>
            </w:r>
            <w:r w:rsidR="000163D9">
              <w:t xml:space="preserve">together referred to as </w:t>
            </w:r>
            <w:r>
              <w:t xml:space="preserve">the </w:t>
            </w:r>
            <w:r w:rsidRPr="0079460A">
              <w:rPr>
                <w:b/>
                <w:bCs/>
              </w:rPr>
              <w:t>Guidance</w:t>
            </w:r>
            <w:r>
              <w:t xml:space="preserve">) – This is a set of standard terms and conditions that can be inserted into contracts. It includes provisions for identifying emissions hotspots, setting decarbonisation targets, requiring suppliers to produce </w:t>
            </w:r>
            <w:r w:rsidR="00247041">
              <w:t xml:space="preserve">greenhouse gas </w:t>
            </w:r>
            <w:r>
              <w:t>emissions reduction plans, and monitoring performance throughout the contract lifecycle.</w:t>
            </w:r>
          </w:p>
          <w:p w14:paraId="18257824" w14:textId="17FE77C5" w:rsidR="00093CA9" w:rsidRDefault="00093CA9" w:rsidP="0079460A"/>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4FF1447" w:rsidR="00093CA9" w:rsidRDefault="0079460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481EBB8" w:rsidR="00093CA9" w:rsidRPr="00173D7C" w:rsidRDefault="0079460A" w:rsidP="00093CA9">
            <w:pPr>
              <w:rPr>
                <w:color w:val="000000" w:themeColor="text1"/>
              </w:rPr>
            </w:pPr>
            <w:r>
              <w:rPr>
                <w:color w:val="000000" w:themeColor="text1"/>
              </w:rPr>
              <w:t>Issued in March 2024 and updated in February 2025 to take effect from 24 February 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D15B516" w:rsidR="00093CA9" w:rsidRPr="00173D7C" w:rsidRDefault="0079460A"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0B391C5" w:rsidR="00093CA9" w:rsidRDefault="0079460A" w:rsidP="00093CA9">
            <w:r>
              <w:t>Cabinet Office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95B3F77" w:rsidR="00093CA9" w:rsidRPr="006B7B0D" w:rsidRDefault="007D783B" w:rsidP="00093CA9">
            <w:r>
              <w:t>Contracting authorities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925961E"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2001CA4E" w:rsidR="00093CA9" w:rsidRPr="006B7B0D" w:rsidRDefault="00131D1A" w:rsidP="00093CA9">
            <w: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B092B4F"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6D7B980"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84580A2"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D6485F1"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09C3049" w:rsidR="00093CA9" w:rsidRDefault="007D783B" w:rsidP="00093CA9">
            <w:r w:rsidRPr="007D783B">
              <w:t>Use of the Carbon Reduction Schedule (</w:t>
            </w:r>
            <w:r w:rsidRPr="007D783B">
              <w:rPr>
                <w:b/>
                <w:bCs/>
              </w:rPr>
              <w:t>Schedule</w:t>
            </w:r>
            <w:r w:rsidRPr="007D783B">
              <w:t>) is optional and should be included where relevant to the subject matter of the contract and proportionate to do so. Use of the Schedule may not be appropriate in all contracts.</w:t>
            </w:r>
            <w:r w:rsidR="00EE5426">
              <w:t xml:space="preserve"> </w:t>
            </w:r>
            <w:r w:rsidR="0079460A" w:rsidRPr="0079460A">
              <w:t>There is no centralised enforcement mechanism or monitoring body specified in the guidance, and no public reporting or dashboard system is currently in place to track adoption or compliance.</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84F25F9" w:rsidR="00093CA9" w:rsidRDefault="0079460A"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41D1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7D783B" w:rsidRDefault="00107CE2" w:rsidP="00DD3144">
            <w:pPr>
              <w:rPr>
                <w:lang w:val="fr-FR"/>
              </w:rPr>
            </w:pPr>
            <w:r w:rsidRPr="007D783B">
              <w:rPr>
                <w:lang w:val="fr-FR"/>
              </w:rPr>
              <w:t>Minimum revenue (Enter minimum revenue)</w:t>
            </w:r>
          </w:p>
        </w:tc>
        <w:tc>
          <w:tcPr>
            <w:tcW w:w="4910" w:type="dxa"/>
            <w:gridSpan w:val="7"/>
            <w:shd w:val="clear" w:color="auto" w:fill="auto"/>
            <w:vAlign w:val="center"/>
          </w:tcPr>
          <w:p w14:paraId="2518BD70" w14:textId="77777777" w:rsidR="00524D54" w:rsidRPr="007D783B" w:rsidRDefault="00524D54" w:rsidP="00DD3144">
            <w:pPr>
              <w:rPr>
                <w:lang w:val="fr-FR"/>
              </w:rPr>
            </w:pPr>
          </w:p>
        </w:tc>
      </w:tr>
      <w:tr w:rsidR="00524D54" w:rsidRPr="0076046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941D1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D783B" w:rsidRDefault="004F276F" w:rsidP="00C37D48">
            <w:pPr>
              <w:rPr>
                <w:rFonts w:ascii="Calibri" w:hAnsi="Calibri" w:cs="Calibri"/>
                <w:lang w:val="fr-FR"/>
              </w:rPr>
            </w:pPr>
            <w:r w:rsidRPr="007D783B">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7D783B" w:rsidRDefault="004F276F" w:rsidP="00C37D48">
            <w:pPr>
              <w:rPr>
                <w:rFonts w:ascii="Calibri" w:hAnsi="Calibri" w:cs="Calibri"/>
                <w:lang w:val="fr-FR"/>
              </w:rPr>
            </w:pPr>
          </w:p>
        </w:tc>
      </w:tr>
      <w:tr w:rsidR="004F276F" w:rsidRPr="004C25F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14C14E09" w:rsidR="00D4323A" w:rsidRPr="00610F28" w:rsidRDefault="006F48D6"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3A493D16" w:rsidR="00D4323A" w:rsidRPr="00610F28" w:rsidRDefault="006F48D6"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26B9579A" w:rsidR="00D4323A" w:rsidRPr="00610F28" w:rsidRDefault="006F48D6"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2F6263EC" w:rsidR="00D4323A" w:rsidRPr="00610F28" w:rsidRDefault="006F48D6"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0F6DB816" w:rsidR="00D4323A" w:rsidRPr="00610F28" w:rsidRDefault="006F48D6"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6E317CD7" w:rsidR="00D4323A" w:rsidRPr="00610F28" w:rsidRDefault="006F48D6" w:rsidP="00610F28">
            <w:pPr>
              <w:rPr>
                <w:rFonts w:ascii="Calibri" w:hAnsi="Calibri" w:cs="Calibri"/>
              </w:rPr>
            </w:pPr>
            <w:r>
              <w:rPr>
                <w:rFonts w:ascii="Calibri" w:hAnsi="Calibri" w:cs="Calibri"/>
              </w:rPr>
              <w:t>X</w:t>
            </w:r>
          </w:p>
        </w:tc>
      </w:tr>
      <w:tr w:rsidR="0019354E" w:rsidRPr="00610F28" w14:paraId="138A0549" w14:textId="77777777" w:rsidTr="00610F28">
        <w:trPr>
          <w:trHeight w:val="24"/>
        </w:trPr>
        <w:tc>
          <w:tcPr>
            <w:tcW w:w="1066" w:type="dxa"/>
            <w:vAlign w:val="center"/>
          </w:tcPr>
          <w:p w14:paraId="13D31DDD" w14:textId="2008C838" w:rsidR="0019354E" w:rsidRPr="00610F28" w:rsidRDefault="0019354E" w:rsidP="0019354E">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19354E" w:rsidRPr="00610F28" w:rsidRDefault="0019354E" w:rsidP="0019354E">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3033B66F" w:rsidR="0019354E" w:rsidRPr="00610F28" w:rsidRDefault="0019354E" w:rsidP="0019354E">
            <w:pPr>
              <w:rPr>
                <w:rFonts w:ascii="Calibri" w:hAnsi="Calibri" w:cs="Calibri"/>
              </w:rPr>
            </w:pPr>
          </w:p>
        </w:tc>
        <w:tc>
          <w:tcPr>
            <w:tcW w:w="1740" w:type="dxa"/>
            <w:vAlign w:val="center"/>
          </w:tcPr>
          <w:p w14:paraId="77554DF9" w14:textId="6CCCDD69" w:rsidR="0019354E" w:rsidRPr="00610F28" w:rsidRDefault="0019354E" w:rsidP="0019354E">
            <w:pPr>
              <w:rPr>
                <w:rFonts w:ascii="Calibri" w:hAnsi="Calibri" w:cs="Calibri"/>
              </w:rPr>
            </w:pPr>
          </w:p>
        </w:tc>
        <w:tc>
          <w:tcPr>
            <w:tcW w:w="1740" w:type="dxa"/>
            <w:vAlign w:val="center"/>
          </w:tcPr>
          <w:p w14:paraId="1E9D4C6F" w14:textId="0A56FFF5" w:rsidR="0019354E" w:rsidRPr="00610F28" w:rsidRDefault="00E7621B" w:rsidP="0019354E">
            <w:pPr>
              <w:rPr>
                <w:rFonts w:ascii="Calibri" w:hAnsi="Calibri" w:cs="Calibri"/>
              </w:rPr>
            </w:pPr>
            <w:r>
              <w:rPr>
                <w:rFonts w:ascii="Calibri" w:hAnsi="Calibri" w:cs="Calibri"/>
              </w:rPr>
              <w:t>X</w:t>
            </w:r>
          </w:p>
        </w:tc>
      </w:tr>
      <w:tr w:rsidR="0019354E" w:rsidRPr="00610F28" w14:paraId="25565D6D" w14:textId="77777777" w:rsidTr="00610F28">
        <w:trPr>
          <w:trHeight w:val="300"/>
        </w:trPr>
        <w:tc>
          <w:tcPr>
            <w:tcW w:w="1066" w:type="dxa"/>
            <w:vAlign w:val="center"/>
          </w:tcPr>
          <w:p w14:paraId="30F97585" w14:textId="1F91E64B" w:rsidR="0019354E" w:rsidRPr="00610F28" w:rsidRDefault="0019354E" w:rsidP="0019354E">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19354E" w:rsidRPr="00610F28" w:rsidRDefault="0019354E" w:rsidP="0019354E">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4AEA809D" w:rsidR="0019354E" w:rsidRPr="00610F28" w:rsidRDefault="0019354E" w:rsidP="0019354E">
            <w:pPr>
              <w:rPr>
                <w:rFonts w:ascii="Calibri" w:hAnsi="Calibri" w:cs="Calibri"/>
              </w:rPr>
            </w:pPr>
          </w:p>
        </w:tc>
        <w:tc>
          <w:tcPr>
            <w:tcW w:w="1740" w:type="dxa"/>
            <w:vAlign w:val="center"/>
          </w:tcPr>
          <w:p w14:paraId="27B6EE00" w14:textId="4D43083B" w:rsidR="0019354E" w:rsidRPr="00610F28" w:rsidRDefault="0019354E" w:rsidP="0019354E">
            <w:pPr>
              <w:rPr>
                <w:rFonts w:ascii="Calibri" w:hAnsi="Calibri" w:cs="Calibri"/>
              </w:rPr>
            </w:pPr>
            <w:r>
              <w:rPr>
                <w:rFonts w:ascii="Calibri" w:hAnsi="Calibri" w:cs="Calibri"/>
              </w:rPr>
              <w:t>X</w:t>
            </w:r>
          </w:p>
        </w:tc>
        <w:tc>
          <w:tcPr>
            <w:tcW w:w="1740" w:type="dxa"/>
            <w:vAlign w:val="center"/>
          </w:tcPr>
          <w:p w14:paraId="2FD54F77" w14:textId="77777777" w:rsidR="0019354E" w:rsidRPr="00610F28" w:rsidRDefault="0019354E" w:rsidP="0019354E">
            <w:pPr>
              <w:rPr>
                <w:rFonts w:ascii="Calibri" w:hAnsi="Calibri" w:cs="Calibri"/>
              </w:rPr>
            </w:pPr>
          </w:p>
        </w:tc>
      </w:tr>
      <w:tr w:rsidR="00E7621B" w:rsidRPr="00610F28" w14:paraId="009102A2" w14:textId="77777777" w:rsidTr="00610F28">
        <w:trPr>
          <w:trHeight w:val="300"/>
        </w:trPr>
        <w:tc>
          <w:tcPr>
            <w:tcW w:w="1066" w:type="dxa"/>
            <w:vAlign w:val="center"/>
          </w:tcPr>
          <w:p w14:paraId="7D4AE63A" w14:textId="5AC35F5A" w:rsidR="00E7621B" w:rsidRPr="00610F28" w:rsidRDefault="00E7621B" w:rsidP="00E7621B">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E7621B" w:rsidRPr="00610F28" w:rsidRDefault="00E7621B" w:rsidP="00E7621B">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2154DB08" w:rsidR="00E7621B" w:rsidRPr="00610F28" w:rsidRDefault="00E7621B" w:rsidP="00E7621B">
            <w:pPr>
              <w:rPr>
                <w:rFonts w:ascii="Calibri" w:hAnsi="Calibri" w:cs="Calibri"/>
              </w:rPr>
            </w:pPr>
          </w:p>
        </w:tc>
        <w:tc>
          <w:tcPr>
            <w:tcW w:w="1740" w:type="dxa"/>
            <w:vAlign w:val="center"/>
          </w:tcPr>
          <w:p w14:paraId="3D9E5463" w14:textId="1DAABB73" w:rsidR="00E7621B" w:rsidRPr="00610F28" w:rsidRDefault="00E7621B" w:rsidP="00E7621B">
            <w:pPr>
              <w:rPr>
                <w:rFonts w:ascii="Calibri" w:hAnsi="Calibri" w:cs="Calibri"/>
              </w:rPr>
            </w:pPr>
          </w:p>
        </w:tc>
        <w:tc>
          <w:tcPr>
            <w:tcW w:w="1740" w:type="dxa"/>
            <w:vAlign w:val="center"/>
          </w:tcPr>
          <w:p w14:paraId="7E182D5B" w14:textId="111C5292" w:rsidR="00E7621B" w:rsidRPr="00610F28" w:rsidRDefault="00E7621B" w:rsidP="00E7621B">
            <w:pPr>
              <w:rPr>
                <w:rFonts w:ascii="Calibri" w:hAnsi="Calibri" w:cs="Calibri"/>
              </w:rPr>
            </w:pPr>
            <w:r>
              <w:rPr>
                <w:rFonts w:ascii="Calibri" w:hAnsi="Calibri" w:cs="Calibri"/>
              </w:rPr>
              <w:t>X</w:t>
            </w:r>
          </w:p>
        </w:tc>
      </w:tr>
      <w:tr w:rsidR="00E7621B" w:rsidRPr="00610F28" w14:paraId="5040D6F1" w14:textId="77777777" w:rsidTr="00610F28">
        <w:trPr>
          <w:trHeight w:val="300"/>
        </w:trPr>
        <w:tc>
          <w:tcPr>
            <w:tcW w:w="1066" w:type="dxa"/>
            <w:vAlign w:val="center"/>
          </w:tcPr>
          <w:p w14:paraId="561EBD05" w14:textId="0191F710" w:rsidR="00E7621B" w:rsidRPr="00610F28" w:rsidRDefault="00E7621B" w:rsidP="00E7621B">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E7621B" w:rsidRPr="00610F28" w:rsidRDefault="00E7621B" w:rsidP="00E7621B">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4F638D22" w:rsidR="00E7621B" w:rsidRPr="00610F28" w:rsidRDefault="00E7621B" w:rsidP="00E7621B">
            <w:pPr>
              <w:rPr>
                <w:rFonts w:ascii="Calibri" w:hAnsi="Calibri" w:cs="Calibri"/>
              </w:rPr>
            </w:pPr>
          </w:p>
        </w:tc>
        <w:tc>
          <w:tcPr>
            <w:tcW w:w="1740" w:type="dxa"/>
            <w:vAlign w:val="center"/>
          </w:tcPr>
          <w:p w14:paraId="133084FA" w14:textId="39E5FE53" w:rsidR="00E7621B" w:rsidRPr="00610F28" w:rsidRDefault="00E7621B" w:rsidP="00E7621B">
            <w:pPr>
              <w:rPr>
                <w:rFonts w:ascii="Calibri" w:hAnsi="Calibri" w:cs="Calibri"/>
              </w:rPr>
            </w:pPr>
          </w:p>
        </w:tc>
        <w:tc>
          <w:tcPr>
            <w:tcW w:w="1740" w:type="dxa"/>
            <w:vAlign w:val="center"/>
          </w:tcPr>
          <w:p w14:paraId="476A335A" w14:textId="0698688F" w:rsidR="00E7621B" w:rsidRPr="00610F28" w:rsidRDefault="00E7621B" w:rsidP="00E7621B">
            <w:pPr>
              <w:rPr>
                <w:rFonts w:ascii="Calibri" w:hAnsi="Calibri" w:cs="Calibri"/>
              </w:rPr>
            </w:pPr>
            <w:r>
              <w:rPr>
                <w:rFonts w:ascii="Calibri" w:hAnsi="Calibri" w:cs="Calibri"/>
              </w:rPr>
              <w:t>X</w:t>
            </w:r>
          </w:p>
        </w:tc>
      </w:tr>
      <w:tr w:rsidR="00E7621B" w:rsidRPr="00610F28" w14:paraId="2B35CCE8" w14:textId="77777777" w:rsidTr="00610F28">
        <w:trPr>
          <w:trHeight w:val="300"/>
        </w:trPr>
        <w:tc>
          <w:tcPr>
            <w:tcW w:w="1066" w:type="dxa"/>
            <w:vAlign w:val="center"/>
          </w:tcPr>
          <w:p w14:paraId="6282ADD2" w14:textId="0FB256AD" w:rsidR="00E7621B" w:rsidRPr="00610F28" w:rsidRDefault="00E7621B" w:rsidP="00E7621B">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E7621B" w:rsidRPr="00610F28" w:rsidRDefault="00E7621B" w:rsidP="00E7621B">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392A3947" w:rsidR="00E7621B" w:rsidRPr="00610F28" w:rsidRDefault="00E7621B" w:rsidP="00E7621B">
            <w:pPr>
              <w:rPr>
                <w:rFonts w:ascii="Calibri" w:hAnsi="Calibri" w:cs="Calibri"/>
              </w:rPr>
            </w:pPr>
          </w:p>
        </w:tc>
        <w:tc>
          <w:tcPr>
            <w:tcW w:w="1740" w:type="dxa"/>
            <w:vAlign w:val="center"/>
          </w:tcPr>
          <w:p w14:paraId="44C14213" w14:textId="475A7DEF" w:rsidR="00E7621B" w:rsidRPr="00610F28" w:rsidRDefault="00E7621B" w:rsidP="00E7621B">
            <w:pPr>
              <w:rPr>
                <w:rFonts w:ascii="Calibri" w:hAnsi="Calibri" w:cs="Calibri"/>
              </w:rPr>
            </w:pPr>
          </w:p>
        </w:tc>
        <w:tc>
          <w:tcPr>
            <w:tcW w:w="1740" w:type="dxa"/>
            <w:vAlign w:val="center"/>
          </w:tcPr>
          <w:p w14:paraId="4510A925" w14:textId="1FEFEE4C" w:rsidR="00E7621B" w:rsidRPr="00610F28" w:rsidRDefault="00E7621B" w:rsidP="00E7621B">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509E911A" w:rsidR="00D4323A" w:rsidRPr="00610F28" w:rsidRDefault="006F48D6"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08B909E0" w:rsidR="00D4323A" w:rsidRPr="00610F28" w:rsidRDefault="006F48D6" w:rsidP="00610F28">
            <w:pPr>
              <w:rPr>
                <w:rFonts w:ascii="Calibri" w:hAnsi="Calibri" w:cs="Calibri"/>
              </w:rPr>
            </w:pPr>
            <w:r>
              <w:rPr>
                <w:rFonts w:ascii="Calibri" w:hAnsi="Calibri" w:cs="Calibri"/>
              </w:rPr>
              <w:t>X</w:t>
            </w: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2601D7D" w14:textId="67A44C53" w:rsidR="006F48D6" w:rsidRPr="006F48D6" w:rsidRDefault="006F48D6" w:rsidP="006F48D6">
            <w:pPr>
              <w:rPr>
                <w:rFonts w:ascii="Calibri" w:hAnsi="Calibri" w:cs="Calibri"/>
              </w:rPr>
            </w:pPr>
            <w:r w:rsidRPr="006F48D6">
              <w:rPr>
                <w:rFonts w:ascii="Calibri" w:hAnsi="Calibri" w:cs="Calibri"/>
              </w:rPr>
              <w:t xml:space="preserve">Non-departmental public bodies are also ‘in-scope organisations’. </w:t>
            </w:r>
          </w:p>
          <w:p w14:paraId="4C474D9F" w14:textId="3B80BD88" w:rsidR="00510677" w:rsidRPr="00610F28" w:rsidRDefault="00247041" w:rsidP="006F48D6">
            <w:pPr>
              <w:rPr>
                <w:rFonts w:ascii="Calibri" w:hAnsi="Calibri" w:cs="Calibri"/>
              </w:rPr>
            </w:pPr>
            <w:r w:rsidRPr="00247041">
              <w:rPr>
                <w:rFonts w:ascii="Calibri" w:hAnsi="Calibri" w:cs="Calibri"/>
              </w:rPr>
              <w:t>A Procurement Policy Note (PPN) is an official guidance document issued by the UK Cabinet Office to communicate new or updated procurement policies that apply to public sector procurement activities.</w:t>
            </w:r>
            <w:r>
              <w:rPr>
                <w:rFonts w:ascii="Calibri" w:hAnsi="Calibri" w:cs="Calibri"/>
              </w:rPr>
              <w:t xml:space="preserve"> </w:t>
            </w:r>
            <w:r w:rsidRPr="00247041">
              <w:rPr>
                <w:rFonts w:ascii="Calibri" w:hAnsi="Calibri" w:cs="Calibri"/>
              </w:rPr>
              <w:t>Despite the status of the PPN as guidance, the PPN states ‘</w:t>
            </w:r>
            <w:r w:rsidRPr="00247041">
              <w:rPr>
                <w:rFonts w:ascii="Calibri" w:hAnsi="Calibri" w:cs="Calibri"/>
                <w:i/>
                <w:iCs/>
              </w:rPr>
              <w:t>in -scope organisations must apply the provisions</w:t>
            </w:r>
            <w:r w:rsidRPr="00247041">
              <w:rPr>
                <w:rFonts w:ascii="Calibri" w:hAnsi="Calibri" w:cs="Calibri"/>
              </w:rPr>
              <w:t>’ of the PPN to relevant procurements.</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6408763C"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33ACC273"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05AC89C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472E3C28"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53C6B275"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3874630B"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52AE01C3" w:rsidR="00C66EE0" w:rsidRPr="00610F28" w:rsidRDefault="00C66EE0" w:rsidP="00610F28">
            <w:pPr>
              <w:rPr>
                <w:rFonts w:ascii="Calibri" w:hAnsi="Calibri" w:cs="Calibri"/>
              </w:rPr>
            </w:pPr>
          </w:p>
        </w:tc>
        <w:tc>
          <w:tcPr>
            <w:tcW w:w="1740" w:type="dxa"/>
            <w:vAlign w:val="center"/>
          </w:tcPr>
          <w:p w14:paraId="4AA174BE" w14:textId="75EC22EF"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8866EB4" w:rsidR="00C66EE0" w:rsidRPr="00610F28" w:rsidRDefault="00C66EE0" w:rsidP="00610F28">
            <w:pPr>
              <w:rPr>
                <w:rFonts w:ascii="Calibri" w:hAnsi="Calibri" w:cs="Calibri"/>
              </w:rPr>
            </w:pPr>
          </w:p>
        </w:tc>
        <w:tc>
          <w:tcPr>
            <w:tcW w:w="1740" w:type="dxa"/>
            <w:vAlign w:val="center"/>
          </w:tcPr>
          <w:p w14:paraId="51BB86C2" w14:textId="7F052AF3"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5851D990" w:rsidR="00C66EE0" w:rsidRPr="00610F28" w:rsidRDefault="00C66EE0" w:rsidP="00610F28">
            <w:pPr>
              <w:rPr>
                <w:rFonts w:ascii="Calibri" w:hAnsi="Calibri" w:cs="Calibri"/>
              </w:rPr>
            </w:pPr>
          </w:p>
        </w:tc>
        <w:tc>
          <w:tcPr>
            <w:tcW w:w="1740" w:type="dxa"/>
            <w:vAlign w:val="center"/>
          </w:tcPr>
          <w:p w14:paraId="4F705CEF" w14:textId="044D9D7F"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571451FC"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419A273C"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51DFF7D8"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18340B83"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1FAA659A"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67088395"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4CACE5A3"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1FF27762"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33DAA3EC"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65CF6CD9"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618FB20C"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60AE61CE"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1CEB07CF"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F976038"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6D53443E"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2E6E0120"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4D2DF32E"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6D6FB48"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3072F59D"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41D17"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D783B" w:rsidRDefault="00C66EE0" w:rsidP="00610F28">
            <w:pPr>
              <w:rPr>
                <w:rFonts w:ascii="Calibri" w:hAnsi="Calibri" w:cs="Calibri"/>
                <w:lang w:val="fr-FR"/>
              </w:rPr>
            </w:pPr>
            <w:r w:rsidRPr="007D783B">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7D783B" w:rsidRDefault="00C66EE0" w:rsidP="00610F28">
            <w:pPr>
              <w:rPr>
                <w:rFonts w:ascii="Calibri" w:hAnsi="Calibri" w:cs="Calibri"/>
                <w:lang w:val="fr-FR"/>
              </w:rPr>
            </w:pPr>
          </w:p>
        </w:tc>
      </w:tr>
      <w:tr w:rsidR="00241257" w:rsidRPr="00AA718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5BCC373D"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61F8C2A6"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1F504B86" w:rsidR="00C66EE0" w:rsidRPr="00610F28" w:rsidRDefault="00510677" w:rsidP="00610F28">
            <w:pPr>
              <w:rPr>
                <w:rFonts w:ascii="Calibri" w:hAnsi="Calibri" w:cs="Calibri"/>
              </w:rPr>
            </w:pPr>
            <w:r>
              <w:rPr>
                <w:rFonts w:ascii="Calibri" w:hAnsi="Calibri" w:cs="Calibri"/>
              </w:rPr>
              <w:t>X</w:t>
            </w: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0A059E3D" w:rsidR="007B7083" w:rsidRPr="00510677" w:rsidRDefault="00510677" w:rsidP="00610F28">
            <w:pPr>
              <w:rPr>
                <w:rFonts w:ascii="Calibri" w:hAnsi="Calibri" w:cs="Calibri"/>
                <w:b/>
                <w:bCs/>
              </w:rPr>
            </w:pPr>
            <w:r>
              <w:rPr>
                <w:rFonts w:ascii="Calibri" w:hAnsi="Calibri" w:cs="Calibri"/>
              </w:rPr>
              <w:t xml:space="preserve">As per the </w:t>
            </w:r>
            <w:r w:rsidRPr="000163D9">
              <w:rPr>
                <w:rFonts w:ascii="Calibri" w:hAnsi="Calibri" w:cs="Calibri"/>
              </w:rPr>
              <w:t>Guidance</w:t>
            </w:r>
            <w:r w:rsidR="000163D9">
              <w:rPr>
                <w:rFonts w:ascii="Calibri" w:hAnsi="Calibri" w:cs="Calibri"/>
              </w:rPr>
              <w:t xml:space="preserve"> </w:t>
            </w:r>
            <w:r w:rsidRPr="00510677">
              <w:rPr>
                <w:rFonts w:ascii="Calibri" w:hAnsi="Calibri" w:cs="Calibri"/>
              </w:rPr>
              <w:t>under the section entitled ‘Appropriate use of these T&amp;Cs’, this is a volun</w:t>
            </w:r>
            <w:r>
              <w:rPr>
                <w:rFonts w:ascii="Calibri" w:hAnsi="Calibri" w:cs="Calibri"/>
              </w:rPr>
              <w:t>tary tool and</w:t>
            </w:r>
            <w:r w:rsidRPr="00510677">
              <w:rPr>
                <w:rFonts w:ascii="Arial" w:hAnsi="Arial" w:cs="Arial"/>
                <w:color w:val="0B0C0C"/>
                <w:sz w:val="29"/>
                <w:szCs w:val="29"/>
                <w:shd w:val="clear" w:color="auto" w:fill="FFFFFF"/>
              </w:rPr>
              <w:t xml:space="preserve"> </w:t>
            </w:r>
            <w:r w:rsidRPr="00510677">
              <w:rPr>
                <w:rFonts w:ascii="Calibri" w:hAnsi="Calibri" w:cs="Calibri"/>
              </w:rPr>
              <w:t xml:space="preserve">should be used where </w:t>
            </w:r>
            <w:r>
              <w:rPr>
                <w:rFonts w:ascii="Calibri" w:hAnsi="Calibri" w:cs="Calibri"/>
              </w:rPr>
              <w:t>it is</w:t>
            </w:r>
            <w:r w:rsidRPr="00510677">
              <w:rPr>
                <w:rFonts w:ascii="Calibri" w:hAnsi="Calibri" w:cs="Calibri"/>
              </w:rPr>
              <w:t xml:space="preserve"> relevant to the subject matter of the contract and proportionate to the nature, complexity and cost of the contract</w:t>
            </w:r>
            <w:r>
              <w:rPr>
                <w:rFonts w:ascii="Calibri" w:hAnsi="Calibri" w:cs="Calibri"/>
              </w:rPr>
              <w:t>.</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5136F163" w:rsidR="00C66EE0" w:rsidRPr="00610F28" w:rsidRDefault="00247041"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54F3D6FB"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3B04144D" w:rsidR="00510677" w:rsidRPr="00610F28" w:rsidRDefault="00247041" w:rsidP="00510677">
            <w:pPr>
              <w:rPr>
                <w:rFonts w:ascii="Calibri" w:hAnsi="Calibri" w:cs="Calibri"/>
              </w:rPr>
            </w:pPr>
            <w:r>
              <w:rPr>
                <w:rFonts w:ascii="Calibri" w:hAnsi="Calibri" w:cs="Calibri"/>
              </w:rPr>
              <w:t xml:space="preserve">There is no known evidence of implementation. However, </w:t>
            </w:r>
            <w:r w:rsidR="000163D9">
              <w:rPr>
                <w:rFonts w:ascii="Calibri" w:hAnsi="Calibri" w:cs="Calibri"/>
              </w:rPr>
              <w:t xml:space="preserve">paragraph 14 of the </w:t>
            </w:r>
            <w:r>
              <w:rPr>
                <w:rFonts w:ascii="Calibri" w:hAnsi="Calibri" w:cs="Calibri"/>
              </w:rPr>
              <w:t>PPN</w:t>
            </w:r>
            <w:r w:rsidR="000163D9">
              <w:rPr>
                <w:rFonts w:ascii="Calibri" w:hAnsi="Calibri" w:cs="Calibri"/>
              </w:rPr>
              <w:t xml:space="preserve">, </w:t>
            </w:r>
            <w:r>
              <w:rPr>
                <w:rFonts w:ascii="Calibri" w:hAnsi="Calibri" w:cs="Calibri"/>
              </w:rPr>
              <w:t>states that “it is</w:t>
            </w:r>
            <w:r w:rsidR="00510677">
              <w:rPr>
                <w:rFonts w:ascii="Calibri" w:hAnsi="Calibri" w:cs="Calibri"/>
              </w:rPr>
              <w:t xml:space="preserve"> </w:t>
            </w:r>
            <w:r w:rsidR="00510677" w:rsidRPr="00510677">
              <w:rPr>
                <w:rFonts w:ascii="Calibri" w:hAnsi="Calibri" w:cs="Calibri"/>
              </w:rPr>
              <w:t>expected that the carbon reduction schedule will be incorporated into future iterations of the suite of Model Contracts</w:t>
            </w:r>
            <w:r>
              <w:rPr>
                <w:rFonts w:ascii="Calibri" w:hAnsi="Calibri" w:cs="Calibri"/>
              </w:rPr>
              <w:t>.”</w:t>
            </w:r>
            <w:r w:rsidR="00510677">
              <w:rPr>
                <w:rFonts w:ascii="Calibri" w:hAnsi="Calibri" w:cs="Calibri"/>
              </w:rPr>
              <w:t xml:space="preserve"> </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48DC46C" w:rsidR="00C66EE0" w:rsidRPr="00610F28" w:rsidRDefault="00510677"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171331BC" w:rsidR="00DF50B5" w:rsidRPr="00610F28" w:rsidRDefault="00510677"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4AFC2621" w14:textId="57BE1F82" w:rsidR="00DF50B5" w:rsidRDefault="00247041" w:rsidP="00610F28">
            <w:pPr>
              <w:rPr>
                <w:rFonts w:ascii="Calibri" w:hAnsi="Calibri" w:cs="Calibri"/>
              </w:rPr>
            </w:pPr>
            <w:r>
              <w:rPr>
                <w:rFonts w:ascii="Calibri" w:hAnsi="Calibri" w:cs="Calibri"/>
              </w:rPr>
              <w:t>The policy tool</w:t>
            </w:r>
            <w:r w:rsidR="00510677" w:rsidRPr="00510677">
              <w:rPr>
                <w:rFonts w:ascii="Calibri" w:hAnsi="Calibri" w:cs="Calibri"/>
              </w:rPr>
              <w:t xml:space="preserve"> does not explicitly state that public procurement spending must be aligned with national or subnational climate targets. However, it does strongly encourage contracting authorities to use procurement as a tool to support the UK’s net zero by 2050 target</w:t>
            </w:r>
            <w:r w:rsidR="00510677">
              <w:rPr>
                <w:rFonts w:ascii="Calibri" w:hAnsi="Calibri" w:cs="Calibri"/>
              </w:rPr>
              <w:t xml:space="preserve">. </w:t>
            </w:r>
          </w:p>
          <w:p w14:paraId="04345F77" w14:textId="33CB948C" w:rsidR="00510677" w:rsidRPr="00610F28" w:rsidRDefault="00247041" w:rsidP="00610F28">
            <w:pPr>
              <w:rPr>
                <w:rFonts w:ascii="Calibri" w:hAnsi="Calibri" w:cs="Calibri"/>
              </w:rPr>
            </w:pPr>
            <w:r w:rsidRPr="00247041">
              <w:rPr>
                <w:rFonts w:ascii="Calibri" w:hAnsi="Calibri" w:cs="Calibri"/>
              </w:rPr>
              <w:t>The Carbon Reduction Schedule published alongside the policy tool provides standard T&amp;Cs to support contract specific decarbonisation objectives to be set and delivered, and provides a framework to monitor and assess the Supplier’s decarbonisation performance. These include contract specific GHG emissions reporting, setting supplier GHG emissions reduction targets and monitoring and reducing GHG emissions throughout the life of the contract though a supplier GHG emissions Reduction Plan.</w:t>
            </w:r>
            <w:r>
              <w:rPr>
                <w:rFonts w:ascii="Calibri" w:hAnsi="Calibri" w:cs="Calibri"/>
              </w:rPr>
              <w:t xml:space="preserve"> </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6D171E32" w:rsidR="00DF50B5" w:rsidRPr="00610F28" w:rsidRDefault="00510677"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AEE5682" w:rsidR="00DF50B5" w:rsidRPr="00610F28" w:rsidRDefault="00510677"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147973E6" w:rsidR="00DF50B5" w:rsidRPr="00610F28" w:rsidRDefault="00510677"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125FFAA6" w:rsidR="00DF50B5" w:rsidRPr="00610F28" w:rsidRDefault="00510677"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71F7FB6" w:rsidR="00DF50B5" w:rsidRPr="00610F28" w:rsidRDefault="00510677"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E730E94" w:rsidR="00DF50B5" w:rsidRPr="00610F28" w:rsidRDefault="00510677"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D761328"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715A9FB5" w:rsidR="00DF50B5" w:rsidRPr="00610F28" w:rsidRDefault="00247041"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69009E2"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30EEE110"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17AEB6" w:rsidR="00DF50B5" w:rsidRPr="00610F28" w:rsidRDefault="00FC5635"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0A48C1A4"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243970A5" w:rsidR="00DF50B5" w:rsidRPr="00610F28" w:rsidRDefault="00510677"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23D1687E" w:rsidR="00DF50B5" w:rsidRPr="00610F28" w:rsidRDefault="00510677"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762F8544" w:rsidR="00DF50B5" w:rsidRPr="00610F28" w:rsidRDefault="00510677"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8186E6D" w:rsidR="00DF50B5" w:rsidRPr="00610F28" w:rsidRDefault="00510677"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3EFC2B30"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54EB02DB" w:rsidR="00DF50B5" w:rsidRPr="00610F28" w:rsidRDefault="00FC5635"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110B15BD"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0935597D" w:rsidR="00DF50B5" w:rsidRPr="00610F28" w:rsidRDefault="00FC5635"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20BABCCD" w:rsidR="00510677" w:rsidRPr="00610F28" w:rsidRDefault="00510677"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4345753B" w:rsidR="00A56BE5" w:rsidRPr="00971C0E" w:rsidRDefault="0068353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0C59ADED"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5AAF2635" w:rsidR="00A56BE5" w:rsidRPr="00971C0E" w:rsidRDefault="0068353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67721B70"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1BD6C203" w:rsidR="00A56BE5" w:rsidRPr="00971C0E" w:rsidRDefault="0051067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3A7C589B" w:rsidR="00D94180" w:rsidRPr="00971C0E" w:rsidRDefault="00683538" w:rsidP="00610F28">
            <w:pPr>
              <w:rPr>
                <w:rStyle w:val="normaltextrun"/>
                <w:rFonts w:cstheme="minorHAnsi"/>
                <w:color w:val="000000"/>
                <w:shd w:val="clear" w:color="auto" w:fill="FFFFFF"/>
                <w:lang w:val="en-US"/>
              </w:rPr>
            </w:pPr>
            <w:r w:rsidRPr="00683538">
              <w:rPr>
                <w:rFonts w:cstheme="minorHAnsi"/>
                <w:color w:val="000000"/>
                <w:shd w:val="clear" w:color="auto" w:fill="FFFFFF"/>
                <w:lang w:val="en-US"/>
              </w:rPr>
              <w:t>The Carbon Reduction Schedule provides for suppliers to provide a Contract Carbon Footprint, and to keep up to date and complete records of GHG Emissions and to provide the same to the Authority each year.</w:t>
            </w: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3F275BD5" w:rsidR="008A4685" w:rsidRPr="00610F28" w:rsidRDefault="0051067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37839F5"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66547379" w:rsidR="008A4685" w:rsidRPr="00610F28" w:rsidRDefault="0020731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26A1288F" w:rsidR="008A4685" w:rsidRPr="00610F28" w:rsidRDefault="0051067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3D48A114"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265859DA" w:rsidR="008A4685" w:rsidRPr="00610F28" w:rsidRDefault="0020731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3929E5C5"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7607DC0" w:rsidR="008A4685" w:rsidRPr="00610F28" w:rsidRDefault="0094702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2FE66DA"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24BCA0F9" w:rsidR="008A4685" w:rsidRPr="00610F28" w:rsidRDefault="0020731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267BD504" w:rsidR="00947024" w:rsidRPr="00610F28" w:rsidRDefault="00947024"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0FA39DE"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6A8ABEBB"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56ADD1BE"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1B327CB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154EC7">
              <w:rPr>
                <w:rStyle w:val="normaltextrun"/>
                <w:rFonts w:ascii="Calibri" w:hAnsi="Calibri" w:cs="Calibri"/>
                <w:color w:val="000000"/>
                <w:lang w:val="en-US"/>
              </w:rPr>
              <w:t>that</w:t>
            </w:r>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65543871"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6B063FC2" w:rsidR="008A4685" w:rsidRPr="00CF2E7C" w:rsidRDefault="00947024"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51C0D355"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3B06B467"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647D045B"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72C3CDE0" w:rsidR="008A4685" w:rsidRPr="00CF2E7C" w:rsidRDefault="002470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3EFE6747"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40CCE376"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0F3F0973"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05A439E"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1E0B8C7"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451D5C7F"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127250D3" w:rsidR="008A4685" w:rsidRPr="00CF2E7C" w:rsidRDefault="009470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63EBF351"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613B6ABE" w:rsidR="008A4685" w:rsidRPr="00CF2E7C" w:rsidRDefault="002470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5423C16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01FDD45D" w:rsidR="008A4685" w:rsidRPr="00CF2E7C" w:rsidRDefault="00AA293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AA293F" w:rsidRPr="00CF2E7C" w14:paraId="7DB979BF" w14:textId="77777777" w:rsidTr="008A6D6E">
        <w:trPr>
          <w:trHeight w:val="67"/>
        </w:trPr>
        <w:tc>
          <w:tcPr>
            <w:tcW w:w="1066" w:type="dxa"/>
            <w:vAlign w:val="center"/>
          </w:tcPr>
          <w:p w14:paraId="7F3E6D50" w14:textId="5AF95E68" w:rsidR="00AA293F" w:rsidRPr="00CF2E7C" w:rsidRDefault="00AA293F" w:rsidP="00AA293F">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76DFC6C8"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025E7BA1" w14:textId="735700FB"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7102C060" w14:textId="77777777" w:rsidTr="008A6D6E">
        <w:trPr>
          <w:trHeight w:val="67"/>
        </w:trPr>
        <w:tc>
          <w:tcPr>
            <w:tcW w:w="1066" w:type="dxa"/>
            <w:vAlign w:val="center"/>
          </w:tcPr>
          <w:p w14:paraId="362C4B67" w14:textId="4016FD61" w:rsidR="00AA293F" w:rsidRPr="00CF2E7C" w:rsidRDefault="00AA293F" w:rsidP="00AA293F">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769298F4" w14:textId="6BCD99F0"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7A344E5A" w14:textId="77777777" w:rsidTr="008A6D6E">
        <w:trPr>
          <w:trHeight w:val="67"/>
        </w:trPr>
        <w:tc>
          <w:tcPr>
            <w:tcW w:w="1066" w:type="dxa"/>
            <w:vAlign w:val="center"/>
          </w:tcPr>
          <w:p w14:paraId="13E6A79D" w14:textId="36E2D964" w:rsidR="00AA293F" w:rsidRPr="00CF2E7C" w:rsidRDefault="00AA293F" w:rsidP="00AA293F">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0B52953F" w14:textId="499776A9"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7F082239" w14:textId="77777777" w:rsidTr="008A6D6E">
        <w:trPr>
          <w:trHeight w:val="67"/>
        </w:trPr>
        <w:tc>
          <w:tcPr>
            <w:tcW w:w="1066" w:type="dxa"/>
            <w:vAlign w:val="center"/>
          </w:tcPr>
          <w:p w14:paraId="447A9FCF" w14:textId="6106DACE" w:rsidR="00AA293F" w:rsidRPr="00CF2E7C" w:rsidRDefault="00AA293F" w:rsidP="00AA293F">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57CA1803" w14:textId="52B00F94"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1264C3F4" w14:textId="77777777" w:rsidTr="008A6D6E">
        <w:trPr>
          <w:trHeight w:val="67"/>
        </w:trPr>
        <w:tc>
          <w:tcPr>
            <w:tcW w:w="1066" w:type="dxa"/>
            <w:vAlign w:val="center"/>
          </w:tcPr>
          <w:p w14:paraId="48165524" w14:textId="3BB0D3E8" w:rsidR="00AA293F" w:rsidRPr="00CF2E7C" w:rsidRDefault="00AA293F" w:rsidP="00AA293F">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633564B1" w14:textId="475286F8"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5F936A25" w14:textId="77777777" w:rsidTr="008A6D6E">
        <w:trPr>
          <w:trHeight w:val="67"/>
        </w:trPr>
        <w:tc>
          <w:tcPr>
            <w:tcW w:w="1066" w:type="dxa"/>
            <w:vAlign w:val="center"/>
          </w:tcPr>
          <w:p w14:paraId="23B59723" w14:textId="55EA0917" w:rsidR="00AA293F" w:rsidRPr="00CF2E7C" w:rsidRDefault="00AA293F" w:rsidP="00AA293F">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18D93358" w14:textId="4410A8A4"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039396C2" w14:textId="77777777" w:rsidTr="008A6D6E">
        <w:trPr>
          <w:trHeight w:val="67"/>
        </w:trPr>
        <w:tc>
          <w:tcPr>
            <w:tcW w:w="1066" w:type="dxa"/>
            <w:vAlign w:val="center"/>
          </w:tcPr>
          <w:p w14:paraId="7DA26310" w14:textId="7F010330" w:rsidR="00AA293F" w:rsidRPr="00CF2E7C" w:rsidRDefault="00AA293F" w:rsidP="00AA293F">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00F9A09F" w14:textId="4E227F88"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7ED945DC" w14:textId="77777777" w:rsidTr="008A6D6E">
        <w:trPr>
          <w:trHeight w:val="67"/>
        </w:trPr>
        <w:tc>
          <w:tcPr>
            <w:tcW w:w="1066" w:type="dxa"/>
            <w:vAlign w:val="center"/>
          </w:tcPr>
          <w:p w14:paraId="0451A73B" w14:textId="6DF7C518" w:rsidR="00AA293F" w:rsidRPr="00CF2E7C" w:rsidRDefault="00AA293F" w:rsidP="00AA293F">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03C6DB57" w14:textId="1C836A16"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3B990875" w14:textId="77777777" w:rsidTr="008A6D6E">
        <w:trPr>
          <w:trHeight w:val="67"/>
        </w:trPr>
        <w:tc>
          <w:tcPr>
            <w:tcW w:w="1066" w:type="dxa"/>
            <w:vAlign w:val="center"/>
          </w:tcPr>
          <w:p w14:paraId="30AFEFCA" w14:textId="413A72AC" w:rsidR="00AA293F" w:rsidRPr="00CF2E7C" w:rsidRDefault="00AA293F" w:rsidP="00AA293F">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7254D5C0" w14:textId="7889941F"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608C9BA2" w14:textId="77777777" w:rsidTr="008A6D6E">
        <w:trPr>
          <w:trHeight w:val="67"/>
        </w:trPr>
        <w:tc>
          <w:tcPr>
            <w:tcW w:w="1066" w:type="dxa"/>
            <w:vAlign w:val="center"/>
          </w:tcPr>
          <w:p w14:paraId="02B03281" w14:textId="7CAFEA98" w:rsidR="00AA293F" w:rsidRPr="00CF2E7C" w:rsidRDefault="00AA293F" w:rsidP="00AA293F">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012AC322" w14:textId="51046A10"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AA293F" w:rsidRPr="00CF2E7C" w14:paraId="29C424B2" w14:textId="77777777" w:rsidTr="008A6D6E">
        <w:trPr>
          <w:trHeight w:val="67"/>
        </w:trPr>
        <w:tc>
          <w:tcPr>
            <w:tcW w:w="1066" w:type="dxa"/>
            <w:vAlign w:val="center"/>
          </w:tcPr>
          <w:p w14:paraId="2C68912A" w14:textId="5D6ECE8D" w:rsidR="00AA293F" w:rsidRPr="00CF2E7C" w:rsidRDefault="00AA293F" w:rsidP="00AA293F">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AA293F" w:rsidRPr="00CF2E7C" w:rsidRDefault="00AA293F" w:rsidP="00AA293F">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AA293F" w:rsidRPr="00CF2E7C" w:rsidRDefault="00AA293F" w:rsidP="00AA293F">
            <w:pPr>
              <w:rPr>
                <w:rStyle w:val="normaltextrun"/>
                <w:rFonts w:ascii="Calibri" w:hAnsi="Calibri" w:cs="Calibri"/>
                <w:color w:val="000000"/>
                <w:shd w:val="clear" w:color="auto" w:fill="FFFFFF"/>
                <w:lang w:val="en-US"/>
              </w:rPr>
            </w:pPr>
          </w:p>
        </w:tc>
        <w:tc>
          <w:tcPr>
            <w:tcW w:w="1680" w:type="dxa"/>
            <w:shd w:val="clear" w:color="auto" w:fill="auto"/>
          </w:tcPr>
          <w:p w14:paraId="40F24815" w14:textId="3165CAF2" w:rsidR="00AA293F" w:rsidRPr="00CF2E7C" w:rsidRDefault="00AA293F" w:rsidP="00AA293F">
            <w:pPr>
              <w:rPr>
                <w:rStyle w:val="normaltextrun"/>
                <w:rFonts w:ascii="Calibri" w:hAnsi="Calibri" w:cs="Calibri"/>
                <w:color w:val="000000"/>
                <w:shd w:val="clear" w:color="auto" w:fill="FFFFFF"/>
                <w:lang w:val="en-US"/>
              </w:rPr>
            </w:pPr>
            <w:r w:rsidRPr="00E46C2E">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2927654E" w:rsidR="008A4685" w:rsidRPr="00CF2E7C" w:rsidRDefault="00AA293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737F8941" w:rsidR="009A5C4E" w:rsidRPr="0074258C" w:rsidRDefault="00247041"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4CE07D65"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240BB3F" w:rsidR="009A5C4E" w:rsidRPr="0074258C" w:rsidRDefault="00D079E9" w:rsidP="00CF2E7C">
            <w:pPr>
              <w:rPr>
                <w:rStyle w:val="normaltextrun"/>
                <w:rFonts w:cstheme="minorHAnsi"/>
                <w:color w:val="000000"/>
                <w:shd w:val="clear" w:color="auto" w:fill="FFFFFF"/>
                <w:lang w:val="en-US"/>
              </w:rPr>
            </w:pPr>
            <w:r>
              <w:rPr>
                <w:rFonts w:cstheme="minorHAnsi"/>
                <w:color w:val="000000"/>
                <w:shd w:val="clear" w:color="auto" w:fill="FFFFFF"/>
              </w:rPr>
              <w:t>As per paragraph 10 of the Note, t</w:t>
            </w:r>
            <w:r w:rsidRPr="00D079E9">
              <w:rPr>
                <w:rFonts w:cstheme="minorHAnsi"/>
                <w:color w:val="000000"/>
                <w:shd w:val="clear" w:color="auto" w:fill="FFFFFF"/>
              </w:rPr>
              <w:t>he carbon reduction schedule published alongside this PPN provides standard T&amp;Cs to support contract specific decarbonisation objectives to be set and delivered and provides a framework to monitor and assess the supplier’s decarbonisation performance. These include contract specific GHG emissions reporting, setting supplier GHG emissions reduction targets and monitoring and reducing GHG emissions throughout the life of the contract through a supplier Carbon Reduction Plan.</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560C11FE" w:rsidR="009A5C4E" w:rsidRPr="0074258C" w:rsidRDefault="00D079E9"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240E7BEE" w:rsidR="009A5C4E" w:rsidRDefault="00247041" w:rsidP="00CF2E7C">
            <w:pPr>
              <w:rPr>
                <w:rStyle w:val="normaltextrun"/>
                <w:rFonts w:ascii="Mulish" w:hAnsi="Mulish"/>
                <w:color w:val="000000"/>
                <w:sz w:val="22"/>
                <w:szCs w:val="22"/>
                <w:shd w:val="clear" w:color="auto" w:fill="FFFFFF"/>
                <w:lang w:val="en-US"/>
              </w:rPr>
            </w:pPr>
            <w:r w:rsidRPr="0092457E">
              <w:rPr>
                <w:rStyle w:val="normaltextrun"/>
                <w:rFonts w:ascii="Mulish" w:hAnsi="Mulish"/>
                <w:color w:val="000000"/>
                <w:sz w:val="22"/>
                <w:szCs w:val="22"/>
                <w:shd w:val="clear" w:color="auto" w:fill="FFFFFF"/>
                <w:lang w:val="en-US"/>
              </w:rPr>
              <w:t>The Carbon Reduction Schedule provides for suppliers to provide a Contract Carbon Footprint, and to keep up to date and complete records of GHG Emissions and to provide the same to the Authority each year.</w:t>
            </w:r>
            <w:r>
              <w:rPr>
                <w:rStyle w:val="normaltextrun"/>
                <w:rFonts w:ascii="Mulish" w:hAnsi="Mulish"/>
                <w:color w:val="000000"/>
                <w:sz w:val="22"/>
                <w:szCs w:val="22"/>
                <w:shd w:val="clear" w:color="auto" w:fill="FFFFFF"/>
                <w:lang w:val="en-US"/>
              </w:rPr>
              <w:t xml:space="preserve"> The Schedule further provides for suppliers to </w:t>
            </w:r>
            <w:r>
              <w:rPr>
                <w:sz w:val="22"/>
                <w:szCs w:val="22"/>
              </w:rPr>
              <w:t xml:space="preserve">provide details of steps taken as an organisation to reduce Carbon Footprint in the form of Emissions Reduction initiatives. Suppliers shall attend, </w:t>
            </w:r>
            <w:r w:rsidRPr="0092457E">
              <w:rPr>
                <w:sz w:val="22"/>
                <w:szCs w:val="22"/>
              </w:rPr>
              <w:t xml:space="preserve">on reasonable notice, meetings with the Authority Representative or other nominated representative to present the Supplier’s </w:t>
            </w:r>
            <w:r>
              <w:rPr>
                <w:sz w:val="22"/>
                <w:szCs w:val="22"/>
              </w:rPr>
              <w:t>Carbon Reduction Plan</w:t>
            </w:r>
            <w:r w:rsidRPr="0092457E">
              <w:rPr>
                <w:sz w:val="22"/>
                <w:szCs w:val="22"/>
              </w:rPr>
              <w:t xml:space="preserve"> </w:t>
            </w:r>
            <w:r>
              <w:rPr>
                <w:sz w:val="22"/>
                <w:szCs w:val="22"/>
              </w:rPr>
              <w:t xml:space="preserve">and </w:t>
            </w:r>
            <w:r w:rsidRPr="0092457E">
              <w:rPr>
                <w:sz w:val="22"/>
                <w:szCs w:val="22"/>
              </w:rPr>
              <w:t xml:space="preserve">to </w:t>
            </w:r>
            <w:r>
              <w:rPr>
                <w:sz w:val="22"/>
                <w:szCs w:val="22"/>
              </w:rPr>
              <w:t>report</w:t>
            </w:r>
            <w:r w:rsidRPr="0092457E">
              <w:rPr>
                <w:sz w:val="22"/>
                <w:szCs w:val="22"/>
              </w:rPr>
              <w:t xml:space="preserve"> progress towards the Supplier Net Zero Target</w:t>
            </w:r>
            <w:r>
              <w:rPr>
                <w:sz w:val="22"/>
                <w:szCs w:val="22"/>
              </w:rPr>
              <w:t>. Authorities can require a Rectification Plan where a supplier fails to meet its Net Zero Target.</w:t>
            </w: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735C5DDF" w:rsidR="007802C6" w:rsidRPr="00CF2E7C" w:rsidRDefault="00D079E9"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98A3065" w:rsidR="007802C6" w:rsidRPr="00CF2E7C" w:rsidRDefault="00D079E9"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056F5A40" w:rsidR="007802C6" w:rsidRPr="00CF2E7C" w:rsidRDefault="00D079E9"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BE60EA3" w:rsidR="007802C6" w:rsidRPr="00CF2E7C" w:rsidRDefault="00D079E9"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3CC3E55" w:rsidR="007802C6" w:rsidRPr="00CF2E7C" w:rsidRDefault="00D079E9"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4857BFDA" w:rsidR="007802C6" w:rsidRPr="00CF2E7C" w:rsidRDefault="00D079E9" w:rsidP="00CF2E7C">
            <w:pPr>
              <w:rPr>
                <w:rFonts w:ascii="Calibri" w:hAnsi="Calibri" w:cs="Calibri"/>
              </w:rPr>
            </w:pPr>
            <w:r>
              <w:rPr>
                <w:rFonts w:ascii="Calibri" w:hAnsi="Calibri" w:cs="Calibri"/>
              </w:rPr>
              <w:t>X</w:t>
            </w:r>
          </w:p>
        </w:tc>
        <w:tc>
          <w:tcPr>
            <w:tcW w:w="1716" w:type="dxa"/>
            <w:vAlign w:val="center"/>
          </w:tcPr>
          <w:p w14:paraId="7E149AB5" w14:textId="0C90CBBF"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28A95BB2" w:rsidR="007802C6" w:rsidRPr="00CF2E7C" w:rsidRDefault="00D079E9"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8D138B7" w:rsidR="007802C6" w:rsidRPr="00CF2E7C" w:rsidRDefault="00D079E9"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4E67989" w:rsidR="007802C6" w:rsidRPr="00CF2E7C" w:rsidRDefault="00D079E9"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81190A3" w:rsidR="007802C6" w:rsidRPr="00CF2E7C" w:rsidRDefault="00D079E9"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0EEBD330" w:rsidR="007802C6" w:rsidRPr="00CF2E7C" w:rsidRDefault="00D079E9"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02B79C9" w:rsidR="007802C6" w:rsidRPr="00CF2E7C" w:rsidRDefault="00D079E9"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1404B32E" w:rsidR="007802C6" w:rsidRPr="00CF2E7C" w:rsidRDefault="0071792C" w:rsidP="00CF2E7C">
            <w:pPr>
              <w:rPr>
                <w:rFonts w:ascii="Calibri" w:hAnsi="Calibri" w:cs="Calibri"/>
              </w:rPr>
            </w:pPr>
            <w:r>
              <w:rPr>
                <w:rFonts w:ascii="Calibri" w:hAnsi="Calibri" w:cs="Calibri"/>
              </w:rPr>
              <w:t>X</w:t>
            </w:r>
          </w:p>
        </w:tc>
        <w:tc>
          <w:tcPr>
            <w:tcW w:w="1716" w:type="dxa"/>
            <w:vAlign w:val="center"/>
          </w:tcPr>
          <w:p w14:paraId="0B2E3AB8" w14:textId="429D8606" w:rsidR="007802C6" w:rsidRPr="00CF2E7C" w:rsidRDefault="00D079E9"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DFCB44B" w:rsidR="007802C6" w:rsidRPr="00CF2E7C" w:rsidRDefault="00D079E9"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41DD3310" w:rsidR="007802C6" w:rsidRPr="00CF2E7C" w:rsidRDefault="00D079E9"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3A3C9998" w:rsidR="007802C6" w:rsidRPr="00CF2E7C" w:rsidRDefault="00D079E9"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72B111F" w:rsidR="007802C6" w:rsidRPr="00CF2E7C" w:rsidRDefault="00D079E9"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28502F15" w:rsidR="007802C6" w:rsidRPr="00CF2E7C" w:rsidRDefault="00D079E9"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576DBF49" w:rsidR="007802C6" w:rsidRPr="00CF2E7C" w:rsidRDefault="00D079E9"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2FA13B54" w:rsidR="007802C6" w:rsidRPr="00CF2E7C" w:rsidRDefault="00D079E9"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2EC3FBD7" w:rsidR="007802C6" w:rsidRPr="00CF2E7C" w:rsidRDefault="00D079E9"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042F89BE" w:rsidR="007802C6" w:rsidRPr="00CF2E7C" w:rsidRDefault="00D079E9" w:rsidP="00CF2E7C">
            <w:pPr>
              <w:rPr>
                <w:rFonts w:ascii="Calibri" w:hAnsi="Calibri" w:cs="Calibri"/>
              </w:rPr>
            </w:pPr>
            <w:r>
              <w:rPr>
                <w:rFonts w:ascii="Calibri" w:hAnsi="Calibri" w:cs="Calibri"/>
              </w:rPr>
              <w:t>X</w:t>
            </w: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182B2E10" w14:textId="77777777" w:rsidR="008753E9" w:rsidRDefault="00752314" w:rsidP="008753E9">
            <w:hyperlink r:id="rId21" w:history="1">
              <w:r w:rsidR="008753E9" w:rsidRPr="00AC5EC9">
                <w:rPr>
                  <w:rStyle w:val="Hyperlink"/>
                </w:rPr>
                <w:t>/web/20250625161112/https://ghgprotocol.org/product-standard</w:t>
              </w:r>
            </w:hyperlink>
          </w:p>
          <w:p w14:paraId="4B92E804" w14:textId="77777777" w:rsidR="008753E9" w:rsidRDefault="00752314" w:rsidP="008753E9">
            <w:hyperlink r:id="rId22" w:history="1">
              <w:r w:rsidR="008753E9" w:rsidRPr="00AC5EC9">
                <w:rPr>
                  <w:rStyle w:val="Hyperlink"/>
                </w:rPr>
                <w:t>/web/20250625161234/https://www.iso.org/standard/66453.html</w:t>
              </w:r>
            </w:hyperlink>
          </w:p>
          <w:p w14:paraId="5DDBB0E0" w14:textId="77777777" w:rsidR="008753E9" w:rsidRDefault="00752314" w:rsidP="008753E9">
            <w:hyperlink r:id="rId23" w:history="1">
              <w:r w:rsidR="008753E9" w:rsidRPr="00AC5EC9">
                <w:rPr>
                  <w:rStyle w:val="Hyperlink"/>
                </w:rPr>
                <w:t>/web/20250625161319/https://www.gov.uk/government/publications/waste-duty-of-care-code-of-practice</w:t>
              </w:r>
            </w:hyperlink>
          </w:p>
          <w:p w14:paraId="501D6FE5" w14:textId="77777777" w:rsidR="008753E9" w:rsidRDefault="00752314" w:rsidP="008753E9">
            <w:hyperlink r:id="rId24" w:history="1">
              <w:r w:rsidR="008753E9" w:rsidRPr="00AC5EC9">
                <w:rPr>
                  <w:rStyle w:val="Hyperlink"/>
                </w:rPr>
                <w:t>/web/20250625161402/https://www.gov.uk/guidance/dispose-of-waste-to-landfill</w:t>
              </w:r>
            </w:hyperlink>
          </w:p>
          <w:p w14:paraId="145A7AF6" w14:textId="77777777" w:rsidR="008753E9" w:rsidRDefault="00752314" w:rsidP="008753E9">
            <w:hyperlink r:id="rId25" w:history="1">
              <w:r w:rsidR="008753E9" w:rsidRPr="00AC5EC9">
                <w:rPr>
                  <w:rStyle w:val="Hyperlink"/>
                </w:rPr>
                <w:t>/web/20250625161447/https://www.gov.uk/government/publications/environmental-reporting-guidelines-including-mandatory-greenhouse-gas-emissions-reporting-guidance</w:t>
              </w:r>
            </w:hyperlink>
          </w:p>
          <w:p w14:paraId="6E2BEFE1" w14:textId="77777777" w:rsidR="008753E9" w:rsidRDefault="00752314" w:rsidP="008753E9">
            <w:hyperlink r:id="rId26" w:history="1">
              <w:r w:rsidR="008753E9" w:rsidRPr="00AC5EC9">
                <w:rPr>
                  <w:rStyle w:val="Hyperlink"/>
                </w:rPr>
                <w:t>/web/20250625161548/https://www.iso.org/iso-50001-energy-management.html</w:t>
              </w:r>
            </w:hyperlink>
          </w:p>
          <w:p w14:paraId="269E73A4" w14:textId="77777777" w:rsidR="008753E9" w:rsidRDefault="00752314" w:rsidP="008753E9">
            <w:hyperlink r:id="rId27" w:history="1">
              <w:r w:rsidR="008753E9" w:rsidRPr="00AC5EC9">
                <w:rPr>
                  <w:rStyle w:val="Hyperlink"/>
                </w:rPr>
                <w:t>/web/20250625161639/https://e3p.jrc.ec.europa.eu/en/publications/2023-best-practice-guidelines-eu-code-conduct-data-centre-energy-efficiency</w:t>
              </w:r>
            </w:hyperlink>
          </w:p>
          <w:p w14:paraId="7EB1450E" w14:textId="338F7D26" w:rsidR="00D079E9" w:rsidRPr="008753E9" w:rsidRDefault="00752314" w:rsidP="00CF2E7C">
            <w:hyperlink r:id="rId28" w:anchor="make-your-technology-sustainable" w:history="1">
              <w:r w:rsidR="008753E9" w:rsidRPr="00AC5EC9">
                <w:rPr>
                  <w:rStyle w:val="Hyperlink"/>
                </w:rPr>
                <w:t>/web/20250625161746/https://www.gov.uk/guidance/the-technology-code-of-practice#make-your-technology-sustainable</w:t>
              </w:r>
            </w:hyperlink>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41D1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7D783B" w:rsidRDefault="00092534" w:rsidP="00CF2E7C">
            <w:pPr>
              <w:rPr>
                <w:rFonts w:ascii="Calibri" w:hAnsi="Calibri" w:cs="Calibri"/>
                <w:lang w:val="fr-FR"/>
              </w:rPr>
            </w:pPr>
            <w:r w:rsidRPr="007D783B">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7D783B" w:rsidRDefault="00092534" w:rsidP="00CF2E7C">
            <w:pPr>
              <w:rPr>
                <w:rFonts w:ascii="Calibri" w:hAnsi="Calibri" w:cs="Calibri"/>
                <w:lang w:val="fr-FR"/>
              </w:rPr>
            </w:pPr>
          </w:p>
        </w:tc>
      </w:tr>
      <w:tr w:rsidR="00092534" w:rsidRPr="00AA718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41D1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D783B" w:rsidRDefault="00DD292A" w:rsidP="00CF2E7C">
            <w:pPr>
              <w:rPr>
                <w:rFonts w:ascii="Calibri" w:hAnsi="Calibri" w:cs="Calibri"/>
                <w:lang w:val="fr-FR"/>
              </w:rPr>
            </w:pPr>
            <w:r w:rsidRPr="007D783B">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7D783B" w:rsidRDefault="00DD292A" w:rsidP="00CF2E7C">
            <w:pPr>
              <w:rPr>
                <w:rFonts w:ascii="Calibri" w:hAnsi="Calibri" w:cs="Calibri"/>
                <w:lang w:val="fr-FR"/>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52314" w:rsidP="00CF2E7C">
            <w:pPr>
              <w:rPr>
                <w:rFonts w:cstheme="minorHAnsi"/>
              </w:rPr>
            </w:pPr>
            <w:hyperlink r:id="rId2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52314" w:rsidP="00CF2E7C">
            <w:pPr>
              <w:rPr>
                <w:rFonts w:cstheme="minorHAnsi"/>
              </w:rPr>
            </w:pPr>
            <w:hyperlink r:id="rId3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41D17"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D783B" w:rsidRDefault="002F0752" w:rsidP="00CF2E7C">
            <w:pPr>
              <w:rPr>
                <w:rFonts w:ascii="Calibri" w:hAnsi="Calibri" w:cs="Calibri"/>
                <w:lang w:val="fr-FR"/>
              </w:rPr>
            </w:pPr>
            <w:r w:rsidRPr="007D783B">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7D783B"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2AA322" w14:textId="77777777" w:rsidR="007360A9" w:rsidRDefault="007360A9" w:rsidP="00874E39">
      <w:r>
        <w:separator/>
      </w:r>
    </w:p>
  </w:endnote>
  <w:endnote w:type="continuationSeparator" w:id="0">
    <w:p w14:paraId="10B43C2B" w14:textId="77777777" w:rsidR="007360A9" w:rsidRDefault="007360A9" w:rsidP="00874E39">
      <w:r>
        <w:continuationSeparator/>
      </w:r>
    </w:p>
  </w:endnote>
  <w:endnote w:type="continuationNotice" w:id="1">
    <w:p w14:paraId="3B7A306F" w14:textId="77777777" w:rsidR="007360A9" w:rsidRDefault="007360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1C4847" w14:textId="77777777" w:rsidR="007360A9" w:rsidRDefault="007360A9" w:rsidP="00874E39">
      <w:r>
        <w:separator/>
      </w:r>
    </w:p>
  </w:footnote>
  <w:footnote w:type="continuationSeparator" w:id="0">
    <w:p w14:paraId="7E2D0044" w14:textId="77777777" w:rsidR="007360A9" w:rsidRDefault="007360A9" w:rsidP="00874E39">
      <w:r>
        <w:continuationSeparator/>
      </w:r>
    </w:p>
  </w:footnote>
  <w:footnote w:type="continuationNotice" w:id="1">
    <w:p w14:paraId="2C75F873" w14:textId="77777777" w:rsidR="007360A9" w:rsidRDefault="007360A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41FE2B" w14:textId="77777777" w:rsidR="006F48D6" w:rsidRDefault="006F48D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DB1F0E" w14:textId="77777777" w:rsidR="006F48D6" w:rsidRDefault="006F48D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93935D3"/>
    <w:multiLevelType w:val="multilevel"/>
    <w:tmpl w:val="3F5E7F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0E02DF2"/>
    <w:multiLevelType w:val="hybridMultilevel"/>
    <w:tmpl w:val="A204E7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3"/>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9"/>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4"/>
  </w:num>
  <w:num w:numId="20">
    <w:abstractNumId w:val="15"/>
  </w:num>
  <w:num w:numId="21">
    <w:abstractNumId w:val="27"/>
  </w:num>
  <w:num w:numId="22">
    <w:abstractNumId w:val="33"/>
  </w:num>
  <w:num w:numId="23">
    <w:abstractNumId w:val="26"/>
  </w:num>
  <w:num w:numId="24">
    <w:abstractNumId w:val="46"/>
  </w:num>
  <w:num w:numId="25">
    <w:abstractNumId w:val="45"/>
  </w:num>
  <w:num w:numId="26">
    <w:abstractNumId w:val="22"/>
  </w:num>
  <w:num w:numId="27">
    <w:abstractNumId w:val="6"/>
  </w:num>
  <w:num w:numId="28">
    <w:abstractNumId w:val="12"/>
  </w:num>
  <w:num w:numId="29">
    <w:abstractNumId w:val="47"/>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1"/>
  </w:num>
  <w:num w:numId="46">
    <w:abstractNumId w:val="48"/>
  </w:num>
  <w:num w:numId="47">
    <w:abstractNumId w:val="25"/>
  </w:num>
  <w:num w:numId="48">
    <w:abstractNumId w:val="36"/>
  </w:num>
  <w:num w:numId="49">
    <w:abstractNumId w:val="42"/>
  </w:num>
  <w:num w:numId="50">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3D9"/>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3F4"/>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19A"/>
    <w:rsid w:val="0007502A"/>
    <w:rsid w:val="00075B10"/>
    <w:rsid w:val="000779A3"/>
    <w:rsid w:val="0008098E"/>
    <w:rsid w:val="00080D39"/>
    <w:rsid w:val="00080D8F"/>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1D1A"/>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4EC7"/>
    <w:rsid w:val="00156468"/>
    <w:rsid w:val="00156AE2"/>
    <w:rsid w:val="00156CD5"/>
    <w:rsid w:val="0015734C"/>
    <w:rsid w:val="0016002C"/>
    <w:rsid w:val="00160486"/>
    <w:rsid w:val="001604B3"/>
    <w:rsid w:val="00161D1B"/>
    <w:rsid w:val="00162CC0"/>
    <w:rsid w:val="00163A69"/>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354E"/>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314"/>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005"/>
    <w:rsid w:val="00246630"/>
    <w:rsid w:val="00247041"/>
    <w:rsid w:val="00247DE7"/>
    <w:rsid w:val="002500FA"/>
    <w:rsid w:val="00250ED8"/>
    <w:rsid w:val="00250F54"/>
    <w:rsid w:val="0025129B"/>
    <w:rsid w:val="0025449C"/>
    <w:rsid w:val="002552C9"/>
    <w:rsid w:val="0025765F"/>
    <w:rsid w:val="00257732"/>
    <w:rsid w:val="00257F48"/>
    <w:rsid w:val="00263C70"/>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181"/>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5F2"/>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677"/>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0A1E"/>
    <w:rsid w:val="00683538"/>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3EED"/>
    <w:rsid w:val="006E43A6"/>
    <w:rsid w:val="006E5C5F"/>
    <w:rsid w:val="006E5EE5"/>
    <w:rsid w:val="006E6B58"/>
    <w:rsid w:val="006E7195"/>
    <w:rsid w:val="006E7DC6"/>
    <w:rsid w:val="006F0E83"/>
    <w:rsid w:val="006F13BA"/>
    <w:rsid w:val="006F2FC8"/>
    <w:rsid w:val="006F344F"/>
    <w:rsid w:val="006F3CBF"/>
    <w:rsid w:val="006F48D6"/>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92C"/>
    <w:rsid w:val="00717C33"/>
    <w:rsid w:val="007201B1"/>
    <w:rsid w:val="007245FC"/>
    <w:rsid w:val="007250B7"/>
    <w:rsid w:val="007274CB"/>
    <w:rsid w:val="0072785A"/>
    <w:rsid w:val="00730E27"/>
    <w:rsid w:val="007312A3"/>
    <w:rsid w:val="00732D3A"/>
    <w:rsid w:val="007335CD"/>
    <w:rsid w:val="00733903"/>
    <w:rsid w:val="00733D39"/>
    <w:rsid w:val="00735A3B"/>
    <w:rsid w:val="007360A9"/>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314"/>
    <w:rsid w:val="00752CD3"/>
    <w:rsid w:val="00753427"/>
    <w:rsid w:val="0075345B"/>
    <w:rsid w:val="0075419A"/>
    <w:rsid w:val="00754C24"/>
    <w:rsid w:val="007557DF"/>
    <w:rsid w:val="0075609B"/>
    <w:rsid w:val="00756E62"/>
    <w:rsid w:val="007600D1"/>
    <w:rsid w:val="00760465"/>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60A"/>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83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53E9"/>
    <w:rsid w:val="008766C1"/>
    <w:rsid w:val="00877C38"/>
    <w:rsid w:val="00877FBD"/>
    <w:rsid w:val="00880170"/>
    <w:rsid w:val="00880274"/>
    <w:rsid w:val="008812AC"/>
    <w:rsid w:val="008835E8"/>
    <w:rsid w:val="00883759"/>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D17"/>
    <w:rsid w:val="009462FE"/>
    <w:rsid w:val="00946B7A"/>
    <w:rsid w:val="00946D94"/>
    <w:rsid w:val="0094702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5E8F"/>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462"/>
    <w:rsid w:val="00A71C2B"/>
    <w:rsid w:val="00A72E82"/>
    <w:rsid w:val="00A76423"/>
    <w:rsid w:val="00A773D0"/>
    <w:rsid w:val="00A77738"/>
    <w:rsid w:val="00A7786A"/>
    <w:rsid w:val="00A779A2"/>
    <w:rsid w:val="00A80131"/>
    <w:rsid w:val="00A818E6"/>
    <w:rsid w:val="00A81A71"/>
    <w:rsid w:val="00A84C61"/>
    <w:rsid w:val="00A8625C"/>
    <w:rsid w:val="00A86B8F"/>
    <w:rsid w:val="00A86DFE"/>
    <w:rsid w:val="00A870CA"/>
    <w:rsid w:val="00A87442"/>
    <w:rsid w:val="00A90D91"/>
    <w:rsid w:val="00A93112"/>
    <w:rsid w:val="00A932DE"/>
    <w:rsid w:val="00A9656E"/>
    <w:rsid w:val="00AA186B"/>
    <w:rsid w:val="00AA293F"/>
    <w:rsid w:val="00AA38F6"/>
    <w:rsid w:val="00AA4965"/>
    <w:rsid w:val="00AA6DDB"/>
    <w:rsid w:val="00AA7185"/>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BC0"/>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E08"/>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9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89"/>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BB"/>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77E7"/>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25D4"/>
    <w:rsid w:val="00E42DA1"/>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21B"/>
    <w:rsid w:val="00E76F8F"/>
    <w:rsid w:val="00E77218"/>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2E38"/>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26"/>
    <w:rsid w:val="00EE5475"/>
    <w:rsid w:val="00EE7415"/>
    <w:rsid w:val="00EF0934"/>
    <w:rsid w:val="00EF16D7"/>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4E0"/>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5B7"/>
    <w:rsid w:val="00FC0689"/>
    <w:rsid w:val="00FC13F0"/>
    <w:rsid w:val="00FC337B"/>
    <w:rsid w:val="00FC5635"/>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678043">
      <w:bodyDiv w:val="1"/>
      <w:marLeft w:val="0"/>
      <w:marRight w:val="0"/>
      <w:marTop w:val="0"/>
      <w:marBottom w:val="0"/>
      <w:divBdr>
        <w:top w:val="none" w:sz="0" w:space="0" w:color="auto"/>
        <w:left w:val="none" w:sz="0" w:space="0" w:color="auto"/>
        <w:bottom w:val="none" w:sz="0" w:space="0" w:color="auto"/>
        <w:right w:val="none" w:sz="0" w:space="0" w:color="auto"/>
      </w:divBdr>
    </w:div>
    <w:div w:id="53026352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5727687">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1942268">
      <w:bodyDiv w:val="1"/>
      <w:marLeft w:val="0"/>
      <w:marRight w:val="0"/>
      <w:marTop w:val="0"/>
      <w:marBottom w:val="0"/>
      <w:divBdr>
        <w:top w:val="none" w:sz="0" w:space="0" w:color="auto"/>
        <w:left w:val="none" w:sz="0" w:space="0" w:color="auto"/>
        <w:bottom w:val="none" w:sz="0" w:space="0" w:color="auto"/>
        <w:right w:val="none" w:sz="0" w:space="0" w:color="auto"/>
      </w:divBdr>
    </w:div>
    <w:div w:id="92087201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46725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50625161548/https:/www.iso.org/iso-50001-energy-management.html" TargetMode="External"/><Relationship Id="rId3" Type="http://schemas.openxmlformats.org/officeDocument/2006/relationships/customXml" Target="../customXml/item3.xml"/><Relationship Id="rId21" Type="http://schemas.openxmlformats.org/officeDocument/2006/relationships/hyperlink" Target="https://web.archive.org/web/20250625161112/https:/ghgprotocol.org/product-standard"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25161447/https:/www.gov.uk/government/publications/environmental-reporting-guidelines-including-mandatory-greenhouse-gas-emissions-reporting-guidance"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217153832/https:/www.gov.uk/government/publications/ppn-016-carbon-reduction-contract-schedule/ppn-016-introductory-guidance-note-html" TargetMode="External"/><Relationship Id="rId29"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25161402/https:/www.gov.uk/guidance/dispose-of-waste-to-landfill"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25161319/https:/www.gov.uk/government/publications/waste-duty-of-care-code-of-practice" TargetMode="External"/><Relationship Id="rId28" Type="http://schemas.openxmlformats.org/officeDocument/2006/relationships/hyperlink" Target="https://web.archive.org/web/20250625161746/https:/www.gov.uk/guidance/the-technology-code-of-practice" TargetMode="External"/><Relationship Id="rId10" Type="http://schemas.openxmlformats.org/officeDocument/2006/relationships/endnotes" Target="endnotes.xml"/><Relationship Id="rId19" Type="http://schemas.openxmlformats.org/officeDocument/2006/relationships/hyperlink" Target="https://web.archive.org/web/20250217153824/https:/www.gov.uk/government/publications/ppn-016-carbon-reduction-contract-schedule/ppn-016-carbon-reduction-contract-schedule-html" TargetMode="Externa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25161234/https:/www.iso.org/standard/66453.html" TargetMode="External"/><Relationship Id="rId27" Type="http://schemas.openxmlformats.org/officeDocument/2006/relationships/hyperlink" Target="https://web.archive.org/web/20250625161639/https:/e3p.jrc.ec.europa.eu/en/publications/2023-best-practice-guidelines-eu-code-conduct-data-centre-energy-efficiency" TargetMode="External"/><Relationship Id="rId30" Type="http://schemas.openxmlformats.org/officeDocument/2006/relationships/hyperlink" Target="https://www.fsb.org/uploads/P131022-1.pdf"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A139633A-5BA9-4723-A87C-4C6753EC0F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Pages>2</Pages>
  <Words>21930</Words>
  <Characters>130927</Characters>
  <DocSecurity>0</DocSecurity>
  <Lines>8728</Lines>
  <Paragraphs>4776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148081</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cp:revision>
</cp:coreProperties>
</file>